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jc w:val="center"/>
        <w:rPr>
          <w:b w:val="1"/>
          <w:color w:val="434343"/>
        </w:rPr>
      </w:pPr>
      <w:r w:rsidDel="00000000" w:rsidR="00000000" w:rsidRPr="00000000">
        <w:rPr>
          <w:rtl w:val="0"/>
        </w:rPr>
      </w:r>
    </w:p>
    <w:p w:rsidR="00000000" w:rsidDel="00000000" w:rsidP="00000000" w:rsidRDefault="00000000" w:rsidRPr="00000000" w14:paraId="00000002">
      <w:pPr>
        <w:tabs>
          <w:tab w:val="center" w:pos="4536"/>
          <w:tab w:val="right" w:pos="9072"/>
        </w:tabs>
        <w:jc w:val="center"/>
        <w:rPr>
          <w:b w:val="1"/>
          <w:color w:val="434343"/>
        </w:rPr>
      </w:pPr>
      <w:r w:rsidDel="00000000" w:rsidR="00000000" w:rsidRPr="00000000">
        <w:rPr>
          <w:b w:val="1"/>
          <w:color w:val="434343"/>
          <w:rtl w:val="0"/>
        </w:rPr>
        <w:t xml:space="preserve">RÉSEAU LINGUISTIQUE PARIS-SACLAY</w:t>
      </w:r>
    </w:p>
    <w:p w:rsidR="00000000" w:rsidDel="00000000" w:rsidP="00000000" w:rsidRDefault="00000000" w:rsidRPr="00000000" w14:paraId="00000003">
      <w:pPr>
        <w:tabs>
          <w:tab w:val="center" w:pos="4536"/>
          <w:tab w:val="right" w:pos="9072"/>
        </w:tabs>
        <w:jc w:val="center"/>
        <w:rPr>
          <w:b w:val="1"/>
          <w:color w:val="434343"/>
        </w:rPr>
      </w:pPr>
      <w:r w:rsidDel="00000000" w:rsidR="00000000" w:rsidRPr="00000000">
        <w:rPr>
          <w:rtl w:val="0"/>
        </w:rPr>
      </w:r>
    </w:p>
    <w:p w:rsidR="00000000" w:rsidDel="00000000" w:rsidP="00000000" w:rsidRDefault="00000000" w:rsidRPr="00000000" w14:paraId="00000004">
      <w:pPr>
        <w:pageBreakBefore w:val="0"/>
        <w:tabs>
          <w:tab w:val="center" w:pos="4536"/>
          <w:tab w:val="right" w:pos="9072"/>
        </w:tabs>
        <w:jc w:val="center"/>
        <w:rPr>
          <w:b w:val="1"/>
          <w:color w:val="434343"/>
          <w:sz w:val="28"/>
          <w:szCs w:val="28"/>
          <w:u w:val="single"/>
        </w:rPr>
      </w:pPr>
      <w:r w:rsidDel="00000000" w:rsidR="00000000" w:rsidRPr="00000000">
        <w:rPr>
          <w:b w:val="1"/>
          <w:color w:val="434343"/>
          <w:sz w:val="28"/>
          <w:szCs w:val="28"/>
          <w:u w:val="single"/>
          <w:rtl w:val="0"/>
        </w:rPr>
        <w:t xml:space="preserve">Bilan de diagnostic linguistique en français/ </w:t>
      </w:r>
    </w:p>
    <w:p w:rsidR="00000000" w:rsidDel="00000000" w:rsidP="00000000" w:rsidRDefault="00000000" w:rsidRPr="00000000" w14:paraId="00000005">
      <w:pPr>
        <w:tabs>
          <w:tab w:val="center" w:pos="4536"/>
          <w:tab w:val="right" w:pos="9072"/>
        </w:tabs>
        <w:jc w:val="center"/>
        <w:rPr>
          <w:b w:val="1"/>
          <w:color w:val="434343"/>
          <w:sz w:val="28"/>
          <w:szCs w:val="28"/>
          <w:u w:val="single"/>
        </w:rPr>
      </w:pPr>
      <w:r w:rsidDel="00000000" w:rsidR="00000000" w:rsidRPr="00000000">
        <w:rPr>
          <w:b w:val="1"/>
          <w:color w:val="434343"/>
          <w:sz w:val="28"/>
          <w:szCs w:val="28"/>
          <w:u w:val="single"/>
          <w:rtl w:val="0"/>
        </w:rPr>
        <w:t xml:space="preserve">Fiche de prescription linguistique</w:t>
      </w:r>
    </w:p>
    <w:p w:rsidR="00000000" w:rsidDel="00000000" w:rsidP="00000000" w:rsidRDefault="00000000" w:rsidRPr="00000000" w14:paraId="00000006">
      <w:pPr>
        <w:pageBreakBefore w:val="0"/>
        <w:tabs>
          <w:tab w:val="center" w:pos="4536"/>
          <w:tab w:val="right" w:pos="9072"/>
        </w:tabs>
        <w:spacing w:after="240" w:before="240" w:lineRule="auto"/>
        <w:rPr>
          <w:b w:val="1"/>
          <w:color w:val="43434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u w:val="single"/>
          <w:rtl w:val="0"/>
        </w:rPr>
        <w:t xml:space="preserve">PARTICIPANT</w:t>
      </w:r>
      <w:r w:rsidDel="00000000" w:rsidR="00000000" w:rsidRPr="00000000">
        <w:rPr>
          <w:rtl w:val="0"/>
        </w:rPr>
      </w:r>
    </w:p>
    <w:p w:rsidR="00000000" w:rsidDel="00000000" w:rsidP="00000000" w:rsidRDefault="00000000" w:rsidRPr="00000000" w14:paraId="00000008">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NOM:                                                                                   N°PLIE :   </w:t>
      </w:r>
    </w:p>
    <w:p w:rsidR="00000000" w:rsidDel="00000000" w:rsidP="00000000" w:rsidRDefault="00000000" w:rsidRPr="00000000" w14:paraId="00000009">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VILLE :               </w:t>
        <w:tab/>
        <w:t xml:space="preserve">                   TÉL :                                      MAIL:    </w:t>
        <w:tab/>
      </w:r>
    </w:p>
    <w:p w:rsidR="00000000" w:rsidDel="00000000" w:rsidP="00000000" w:rsidRDefault="00000000" w:rsidRPr="00000000" w14:paraId="0000000A">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STATUT</w:t>
      </w:r>
      <w:r w:rsidDel="00000000" w:rsidR="00000000" w:rsidRPr="00000000">
        <w:rPr>
          <w:color w:val="434343"/>
          <w:sz w:val="20"/>
          <w:szCs w:val="20"/>
          <w:rtl w:val="0"/>
        </w:rPr>
        <w:t xml:space="preserve"> (utile pour certaines formations):</w:t>
      </w:r>
      <w:r w:rsidDel="00000000" w:rsidR="00000000" w:rsidRPr="00000000">
        <w:rPr>
          <w:b w:val="1"/>
          <w:color w:val="434343"/>
          <w:sz w:val="20"/>
          <w:szCs w:val="20"/>
          <w:rtl w:val="0"/>
        </w:rPr>
        <w:t xml:space="preserve">  ◻RSA  ◻DE   ◻RQTH   ◻Réfugié  ◻Dem. Asile  ◻Autre:</w:t>
      </w:r>
    </w:p>
    <w:p w:rsidR="00000000" w:rsidDel="00000000" w:rsidP="00000000" w:rsidRDefault="00000000" w:rsidRPr="00000000" w14:paraId="0000000B">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ORIENTÉ (E) PAR :   </w:t>
        <w:tab/>
        <w:t xml:space="preserve">                                                                          STRUCTURE / SITE:</w:t>
      </w:r>
    </w:p>
    <w:p w:rsidR="00000000" w:rsidDel="00000000" w:rsidP="00000000" w:rsidRDefault="00000000" w:rsidRPr="00000000" w14:paraId="0000000C">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MAIL:</w:t>
        <w:tab/>
        <w:t xml:space="preserve">TEL:</w:t>
      </w:r>
    </w:p>
    <w:p w:rsidR="00000000" w:rsidDel="00000000" w:rsidP="00000000" w:rsidRDefault="00000000" w:rsidRPr="00000000" w14:paraId="0000000D">
      <w:pPr>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MOTIF DE L’ORIENTATION : </w:t>
      </w:r>
    </w:p>
    <w:p w:rsidR="00000000" w:rsidDel="00000000" w:rsidP="00000000" w:rsidRDefault="00000000" w:rsidRPr="00000000" w14:paraId="0000000E">
      <w:pPr>
        <w:pageBreakBefore w:val="0"/>
        <w:tabs>
          <w:tab w:val="center" w:pos="4536"/>
          <w:tab w:val="right" w:pos="9072"/>
        </w:tabs>
        <w:spacing w:after="240" w:before="240" w:lineRule="auto"/>
        <w:rPr>
          <w:b w:val="1"/>
          <w:color w:val="43434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tabs>
          <w:tab w:val="center" w:pos="4536"/>
          <w:tab w:val="right" w:pos="9072"/>
        </w:tabs>
        <w:spacing w:after="240" w:before="240" w:lineRule="auto"/>
        <w:rPr>
          <w:b w:val="1"/>
          <w:color w:val="434343"/>
          <w:sz w:val="20"/>
          <w:szCs w:val="20"/>
          <w:u w:val="single"/>
        </w:rPr>
      </w:pPr>
      <w:r w:rsidDel="00000000" w:rsidR="00000000" w:rsidRPr="00000000">
        <w:rPr>
          <w:b w:val="1"/>
          <w:color w:val="434343"/>
          <w:sz w:val="20"/>
          <w:szCs w:val="20"/>
          <w:u w:val="single"/>
          <w:rtl w:val="0"/>
        </w:rPr>
        <w:t xml:space="preserve">EVALUATION LINGUISTIQUE</w:t>
      </w:r>
    </w:p>
    <w:p w:rsidR="00000000" w:rsidDel="00000000" w:rsidP="00000000" w:rsidRDefault="00000000" w:rsidRPr="00000000" w14:paraId="00000010">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DATE ET LIEU : </w:t>
      </w:r>
    </w:p>
    <w:p w:rsidR="00000000" w:rsidDel="00000000" w:rsidP="00000000" w:rsidRDefault="00000000" w:rsidRPr="00000000" w14:paraId="00000011">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RÉALISÉ(E) PAR : </w:t>
      </w:r>
    </w:p>
    <w:p w:rsidR="00000000" w:rsidDel="00000000" w:rsidP="00000000" w:rsidRDefault="00000000" w:rsidRPr="00000000" w14:paraId="00000012">
      <w:pPr>
        <w:pageBreakBefore w:val="0"/>
        <w:tabs>
          <w:tab w:val="center" w:pos="4536"/>
          <w:tab w:val="right" w:pos="9072"/>
        </w:tabs>
        <w:spacing w:after="240" w:before="240" w:lineRule="auto"/>
        <w:rPr>
          <w:b w:val="1"/>
          <w:color w:val="43434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tabs>
          <w:tab w:val="center" w:pos="4536"/>
          <w:tab w:val="right" w:pos="9072"/>
        </w:tabs>
        <w:spacing w:after="240" w:before="240" w:lineRule="auto"/>
        <w:rPr>
          <w:b w:val="1"/>
          <w:color w:val="434343"/>
          <w:sz w:val="20"/>
          <w:szCs w:val="20"/>
          <w:u w:val="single"/>
        </w:rPr>
      </w:pPr>
      <w:r w:rsidDel="00000000" w:rsidR="00000000" w:rsidRPr="00000000">
        <w:rPr>
          <w:b w:val="1"/>
          <w:color w:val="434343"/>
          <w:sz w:val="20"/>
          <w:szCs w:val="20"/>
          <w:u w:val="single"/>
          <w:rtl w:val="0"/>
        </w:rPr>
        <w:t xml:space="preserve">BILAN</w:t>
      </w:r>
    </w:p>
    <w:p w:rsidR="00000000" w:rsidDel="00000000" w:rsidP="00000000" w:rsidRDefault="00000000" w:rsidRPr="00000000" w14:paraId="00000014">
      <w:pPr>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SITUATION/SOUHAITS EXPRIMÉS : </w:t>
      </w:r>
    </w:p>
    <w:p w:rsidR="00000000" w:rsidDel="00000000" w:rsidP="00000000" w:rsidRDefault="00000000" w:rsidRPr="00000000" w14:paraId="00000015">
      <w:pPr>
        <w:pageBreakBefore w:val="0"/>
        <w:tabs>
          <w:tab w:val="center" w:pos="4536"/>
          <w:tab w:val="right" w:pos="9072"/>
        </w:tabs>
        <w:spacing w:after="240" w:before="240" w:lineRule="auto"/>
        <w:rPr>
          <w:b w:val="1"/>
          <w:color w:val="434343"/>
          <w:sz w:val="20"/>
          <w:szCs w:val="20"/>
        </w:rPr>
      </w:pPr>
      <w:r w:rsidDel="00000000" w:rsidR="00000000" w:rsidRPr="00000000">
        <w:rPr>
          <w:rtl w:val="0"/>
        </w:rPr>
      </w:r>
    </w:p>
    <w:p w:rsidR="00000000" w:rsidDel="00000000" w:rsidP="00000000" w:rsidRDefault="00000000" w:rsidRPr="00000000" w14:paraId="00000016">
      <w:pPr>
        <w:tabs>
          <w:tab w:val="center" w:pos="4536"/>
          <w:tab w:val="right" w:pos="9072"/>
        </w:tabs>
        <w:spacing w:after="240" w:before="240" w:lineRule="auto"/>
        <w:ind w:right="-60"/>
        <w:rPr>
          <w:b w:val="1"/>
          <w:color w:val="434343"/>
          <w:sz w:val="20"/>
          <w:szCs w:val="20"/>
        </w:rPr>
      </w:pPr>
      <w:r w:rsidDel="00000000" w:rsidR="00000000" w:rsidRPr="00000000">
        <w:rPr>
          <w:b w:val="1"/>
          <w:color w:val="434343"/>
          <w:sz w:val="20"/>
          <w:szCs w:val="20"/>
          <w:rtl w:val="0"/>
        </w:rPr>
        <w:t xml:space="preserve">MOTIVATION À APPRENDRE :</w:t>
      </w:r>
    </w:p>
    <w:p w:rsidR="00000000" w:rsidDel="00000000" w:rsidP="00000000" w:rsidRDefault="00000000" w:rsidRPr="00000000" w14:paraId="00000017">
      <w:pPr>
        <w:pageBreakBefore w:val="0"/>
        <w:tabs>
          <w:tab w:val="center" w:pos="4536"/>
          <w:tab w:val="right" w:pos="9072"/>
        </w:tabs>
        <w:spacing w:after="240" w:before="240" w:lineRule="auto"/>
        <w:ind w:right="-60"/>
        <w:rPr>
          <w:color w:val="434343"/>
          <w:sz w:val="20"/>
          <w:szCs w:val="20"/>
        </w:rPr>
      </w:pPr>
      <w:r w:rsidDel="00000000" w:rsidR="00000000" w:rsidRPr="00000000">
        <w:rPr>
          <w:rtl w:val="0"/>
        </w:rPr>
      </w:r>
    </w:p>
    <w:p w:rsidR="00000000" w:rsidDel="00000000" w:rsidP="00000000" w:rsidRDefault="00000000" w:rsidRPr="00000000" w14:paraId="00000018">
      <w:pPr>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NIVEAU ESTIME/ HISTORIQUE :  </w:t>
      </w:r>
    </w:p>
    <w:p w:rsidR="00000000" w:rsidDel="00000000" w:rsidP="00000000" w:rsidRDefault="00000000" w:rsidRPr="00000000" w14:paraId="00000019">
      <w:pPr>
        <w:tabs>
          <w:tab w:val="center" w:pos="4536"/>
          <w:tab w:val="right" w:pos="9072"/>
        </w:tabs>
        <w:spacing w:after="240" w:before="240" w:lineRule="auto"/>
        <w:rPr>
          <w:color w:val="434343"/>
          <w:sz w:val="20"/>
          <w:szCs w:val="20"/>
        </w:rPr>
      </w:pPr>
      <w:r w:rsidDel="00000000" w:rsidR="00000000" w:rsidRPr="00000000">
        <w:rPr>
          <w:rtl w:val="0"/>
        </w:rPr>
      </w:r>
    </w:p>
    <w:p w:rsidR="00000000" w:rsidDel="00000000" w:rsidP="00000000" w:rsidRDefault="00000000" w:rsidRPr="00000000" w14:paraId="0000001A">
      <w:pPr>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DISPONIBILITÉ/ MOBILITÉ :  </w:t>
      </w:r>
    </w:p>
    <w:p w:rsidR="00000000" w:rsidDel="00000000" w:rsidP="00000000" w:rsidRDefault="00000000" w:rsidRPr="00000000" w14:paraId="0000001B">
      <w:pPr>
        <w:pageBreakBefore w:val="0"/>
        <w:tabs>
          <w:tab w:val="center" w:pos="4536"/>
          <w:tab w:val="right" w:pos="9072"/>
        </w:tabs>
        <w:spacing w:after="240" w:before="240" w:lineRule="auto"/>
        <w:rPr>
          <w:color w:val="434343"/>
          <w:sz w:val="20"/>
          <w:szCs w:val="20"/>
        </w:rPr>
      </w:pPr>
      <w:r w:rsidDel="00000000" w:rsidR="00000000" w:rsidRPr="00000000">
        <w:rPr>
          <w:rtl w:val="0"/>
        </w:rPr>
      </w:r>
    </w:p>
    <w:p w:rsidR="00000000" w:rsidDel="00000000" w:rsidP="00000000" w:rsidRDefault="00000000" w:rsidRPr="00000000" w14:paraId="0000001C">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PRÉCONISATIONS* : ◻ ALPHA     ◻ FLE    ◻ RAN     ◻ ASL     ◻ APP   ◻ FVP   ◻ REMOB   ◻Autre </w:t>
      </w:r>
    </w:p>
    <w:p w:rsidR="00000000" w:rsidDel="00000000" w:rsidP="00000000" w:rsidRDefault="00000000" w:rsidRPr="00000000" w14:paraId="0000001D">
      <w:pPr>
        <w:pageBreakBefore w:val="0"/>
        <w:tabs>
          <w:tab w:val="center" w:pos="4536"/>
          <w:tab w:val="right" w:pos="9072"/>
        </w:tabs>
        <w:spacing w:after="120" w:lineRule="auto"/>
        <w:rPr>
          <w:i w:val="1"/>
          <w:sz w:val="16"/>
          <w:szCs w:val="16"/>
        </w:rPr>
      </w:pPr>
      <w:r w:rsidDel="00000000" w:rsidR="00000000" w:rsidRPr="00000000">
        <w:rPr>
          <w:i w:val="1"/>
          <w:color w:val="434343"/>
          <w:sz w:val="18"/>
          <w:szCs w:val="18"/>
          <w:rtl w:val="0"/>
        </w:rPr>
        <w:t xml:space="preserve">*Annuaire des structures et Sitographie numérique accessibles sur le site du réseau linguistique</w:t>
      </w:r>
      <w:r w:rsidDel="00000000" w:rsidR="00000000" w:rsidRPr="00000000">
        <w:rPr>
          <w:i w:val="1"/>
          <w:sz w:val="12"/>
          <w:szCs w:val="12"/>
          <w:rtl w:val="0"/>
        </w:rPr>
        <w:t xml:space="preserve"> </w:t>
      </w:r>
      <w:hyperlink r:id="rId6">
        <w:r w:rsidDel="00000000" w:rsidR="00000000" w:rsidRPr="00000000">
          <w:rPr>
            <w:i w:val="1"/>
            <w:color w:val="1155cc"/>
            <w:sz w:val="16"/>
            <w:szCs w:val="16"/>
            <w:u w:val="single"/>
            <w:rtl w:val="0"/>
          </w:rPr>
          <w:t xml:space="preserve">http://linguistique-paris-saclay.fr/</w:t>
        </w:r>
      </w:hyperlink>
      <w:r w:rsidDel="00000000" w:rsidR="00000000" w:rsidRPr="00000000">
        <w:rPr>
          <w:i w:val="1"/>
          <w:sz w:val="16"/>
          <w:szCs w:val="16"/>
          <w:rtl w:val="0"/>
        </w:rPr>
        <w:t xml:space="preserve"> </w:t>
      </w:r>
    </w:p>
    <w:p w:rsidR="00000000" w:rsidDel="00000000" w:rsidP="00000000" w:rsidRDefault="00000000" w:rsidRPr="00000000" w14:paraId="0000001E">
      <w:pPr>
        <w:pageBreakBefore w:val="0"/>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Commentaires:</w:t>
      </w:r>
      <w:r w:rsidDel="00000000" w:rsidR="00000000" w:rsidRPr="00000000">
        <w:rPr>
          <w:rtl w:val="0"/>
        </w:rPr>
      </w:r>
    </w:p>
    <w:p w:rsidR="00000000" w:rsidDel="00000000" w:rsidP="00000000" w:rsidRDefault="00000000" w:rsidRPr="00000000" w14:paraId="0000001F">
      <w:pPr>
        <w:pageBreakBefore w:val="0"/>
        <w:tabs>
          <w:tab w:val="center" w:pos="4536"/>
          <w:tab w:val="right" w:pos="9072"/>
        </w:tabs>
        <w:spacing w:after="240" w:before="240" w:lineRule="auto"/>
        <w:rPr>
          <w:b w:val="1"/>
          <w:color w:val="434343"/>
          <w:sz w:val="20"/>
          <w:szCs w:val="20"/>
        </w:rPr>
      </w:pPr>
      <w:r w:rsidDel="00000000" w:rsidR="00000000" w:rsidRPr="00000000">
        <w:rPr>
          <w:rtl w:val="0"/>
        </w:rPr>
      </w:r>
    </w:p>
    <w:p w:rsidR="00000000" w:rsidDel="00000000" w:rsidP="00000000" w:rsidRDefault="00000000" w:rsidRPr="00000000" w14:paraId="00000020">
      <w:pPr>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ACTIONS ENGAGEES :</w:t>
      </w:r>
    </w:p>
    <w:p w:rsidR="00000000" w:rsidDel="00000000" w:rsidP="00000000" w:rsidRDefault="00000000" w:rsidRPr="00000000" w14:paraId="00000021">
      <w:pPr>
        <w:tabs>
          <w:tab w:val="center" w:pos="4536"/>
          <w:tab w:val="right" w:pos="9072"/>
        </w:tabs>
        <w:spacing w:after="240" w:before="240" w:lineRule="auto"/>
        <w:rPr>
          <w:b w:val="1"/>
          <w:color w:val="434343"/>
          <w:sz w:val="20"/>
          <w:szCs w:val="20"/>
        </w:rPr>
      </w:pPr>
      <w:r w:rsidDel="00000000" w:rsidR="00000000" w:rsidRPr="00000000">
        <w:rPr>
          <w:rtl w:val="0"/>
        </w:rPr>
      </w:r>
    </w:p>
    <w:p w:rsidR="00000000" w:rsidDel="00000000" w:rsidP="00000000" w:rsidRDefault="00000000" w:rsidRPr="00000000" w14:paraId="00000022">
      <w:pPr>
        <w:tabs>
          <w:tab w:val="center" w:pos="4536"/>
          <w:tab w:val="right" w:pos="9072"/>
        </w:tabs>
        <w:spacing w:after="240" w:before="240" w:lineRule="auto"/>
        <w:rPr>
          <w:b w:val="1"/>
          <w:color w:val="434343"/>
          <w:sz w:val="20"/>
          <w:szCs w:val="20"/>
        </w:rPr>
      </w:pPr>
      <w:r w:rsidDel="00000000" w:rsidR="00000000" w:rsidRPr="00000000">
        <w:rPr>
          <w:b w:val="1"/>
          <w:color w:val="434343"/>
          <w:sz w:val="20"/>
          <w:szCs w:val="20"/>
          <w:rtl w:val="0"/>
        </w:rPr>
        <w:t xml:space="preserve">ACTIONS A FAIRE :</w:t>
      </w:r>
    </w:p>
    <w:p w:rsidR="00000000" w:rsidDel="00000000" w:rsidP="00000000" w:rsidRDefault="00000000" w:rsidRPr="00000000" w14:paraId="00000023">
      <w:pPr>
        <w:pageBreakBefore w:val="0"/>
        <w:tabs>
          <w:tab w:val="center" w:pos="4536"/>
          <w:tab w:val="right" w:pos="9072"/>
        </w:tabs>
        <w:spacing w:after="120" w:lineRule="auto"/>
        <w:rPr>
          <w:i w:val="1"/>
          <w:sz w:val="16"/>
          <w:szCs w:val="16"/>
        </w:rPr>
      </w:pPr>
      <w:r w:rsidDel="00000000" w:rsidR="00000000" w:rsidRPr="00000000">
        <w:rPr>
          <w:rtl w:val="0"/>
        </w:rPr>
      </w:r>
    </w:p>
    <w:p w:rsidR="00000000" w:rsidDel="00000000" w:rsidP="00000000" w:rsidRDefault="00000000" w:rsidRPr="00000000" w14:paraId="00000024">
      <w:pPr>
        <w:pageBreakBefore w:val="0"/>
        <w:tabs>
          <w:tab w:val="center" w:pos="4536"/>
          <w:tab w:val="right" w:pos="9072"/>
        </w:tabs>
        <w:spacing w:after="120" w:lineRule="auto"/>
        <w:rPr>
          <w:i w:val="1"/>
          <w:sz w:val="16"/>
          <w:szCs w:val="16"/>
        </w:rPr>
      </w:pPr>
      <w:r w:rsidDel="00000000" w:rsidR="00000000" w:rsidRPr="00000000">
        <w:rPr>
          <w:rtl w:val="0"/>
        </w:rPr>
      </w:r>
    </w:p>
    <w:p w:rsidR="00000000" w:rsidDel="00000000" w:rsidP="00000000" w:rsidRDefault="00000000" w:rsidRPr="00000000" w14:paraId="00000025">
      <w:pPr>
        <w:pageBreakBefore w:val="0"/>
        <w:tabs>
          <w:tab w:val="center" w:pos="4536"/>
          <w:tab w:val="right" w:pos="9072"/>
        </w:tabs>
        <w:spacing w:after="120" w:lineRule="auto"/>
        <w:jc w:val="both"/>
        <w:rPr>
          <w:i w:val="1"/>
          <w:sz w:val="16"/>
          <w:szCs w:val="16"/>
        </w:rPr>
      </w:pPr>
      <w:r w:rsidDel="00000000" w:rsidR="00000000" w:rsidRPr="00000000">
        <w:rPr>
          <w:i w:val="1"/>
          <w:sz w:val="16"/>
          <w:szCs w:val="16"/>
          <w:rtl w:val="0"/>
        </w:rPr>
        <w:t xml:space="preserve">Confidentialité: Le bénéficiaire consent au traitement de ses données à caractère personnel pour le suivi de son parcours linguistique et professionnel. Les informations recueillies par la MEIF Paris-Saclay, sous la responsabilité de sa directrice Mme Lahrour-Ba, ne peuvent être utilisées à d’autres fins que celles relatives à ces missions. Conformément au règlement nᵒ 2016/679 dit règlement général sur la protection des données, le bénéficiaire en est informé, et peut rectifier ses informations et son accord à tout moment.</w:t>
      </w:r>
    </w:p>
    <w:p w:rsidR="00000000" w:rsidDel="00000000" w:rsidP="00000000" w:rsidRDefault="00000000" w:rsidRPr="00000000" w14:paraId="00000026">
      <w:pPr>
        <w:tabs>
          <w:tab w:val="center" w:pos="4536"/>
          <w:tab w:val="right" w:pos="9072"/>
        </w:tabs>
        <w:spacing w:after="120" w:lineRule="auto"/>
        <w:rPr>
          <w:i w:val="1"/>
          <w:sz w:val="16"/>
          <w:szCs w:val="16"/>
        </w:rPr>
      </w:pPr>
      <w:r w:rsidDel="00000000" w:rsidR="00000000" w:rsidRPr="00000000">
        <w:rPr>
          <w:rtl w:val="0"/>
        </w:rPr>
      </w:r>
    </w:p>
    <w:tbl>
      <w:tblPr>
        <w:tblStyle w:val="Table1"/>
        <w:tblW w:w="1006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2"/>
        <w:tblGridChange w:id="0">
          <w:tblGrid>
            <w:gridCol w:w="1006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tabs>
                <w:tab w:val="center" w:pos="4536"/>
                <w:tab w:val="right" w:pos="9072"/>
              </w:tabs>
              <w:jc w:val="center"/>
              <w:rPr>
                <w:b w:val="1"/>
                <w:color w:val="1c4587"/>
                <w:sz w:val="16"/>
                <w:szCs w:val="16"/>
              </w:rPr>
            </w:pPr>
            <w:r w:rsidDel="00000000" w:rsidR="00000000" w:rsidRPr="00000000">
              <w:rPr>
                <w:b w:val="1"/>
                <w:color w:val="1c4587"/>
                <w:sz w:val="16"/>
                <w:szCs w:val="16"/>
                <w:rtl w:val="0"/>
              </w:rPr>
              <w:t xml:space="preserve">GLOSSAIRE</w:t>
            </w:r>
          </w:p>
          <w:p w:rsidR="00000000" w:rsidDel="00000000" w:rsidP="00000000" w:rsidRDefault="00000000" w:rsidRPr="00000000" w14:paraId="00000028">
            <w:pPr>
              <w:tabs>
                <w:tab w:val="center" w:pos="4536"/>
                <w:tab w:val="right" w:pos="9072"/>
              </w:tabs>
              <w:jc w:val="center"/>
              <w:rPr>
                <w:color w:val="1c4587"/>
                <w:sz w:val="16"/>
                <w:szCs w:val="16"/>
              </w:rPr>
            </w:pPr>
            <w:r w:rsidDel="00000000" w:rsidR="00000000" w:rsidRPr="00000000">
              <w:rPr>
                <w:rtl w:val="0"/>
              </w:rPr>
            </w:r>
          </w:p>
          <w:p w:rsidR="00000000" w:rsidDel="00000000" w:rsidP="00000000" w:rsidRDefault="00000000" w:rsidRPr="00000000" w14:paraId="00000029">
            <w:pPr>
              <w:numPr>
                <w:ilvl w:val="0"/>
                <w:numId w:val="2"/>
              </w:numPr>
              <w:tabs>
                <w:tab w:val="center" w:pos="4536"/>
                <w:tab w:val="right" w:pos="9072"/>
              </w:tabs>
              <w:ind w:left="720" w:right="2" w:hanging="360"/>
              <w:rPr>
                <w:color w:val="1c4587"/>
                <w:sz w:val="16"/>
                <w:szCs w:val="16"/>
              </w:rPr>
            </w:pPr>
            <w:r w:rsidDel="00000000" w:rsidR="00000000" w:rsidRPr="00000000">
              <w:rPr>
                <w:b w:val="1"/>
                <w:color w:val="1c4587"/>
                <w:sz w:val="16"/>
                <w:szCs w:val="16"/>
                <w:rtl w:val="0"/>
              </w:rPr>
              <w:t xml:space="preserve">Analphabétisme: </w:t>
            </w:r>
            <w:r w:rsidDel="00000000" w:rsidR="00000000" w:rsidRPr="00000000">
              <w:rPr>
                <w:color w:val="1c4587"/>
                <w:sz w:val="16"/>
                <w:szCs w:val="16"/>
                <w:rtl w:val="0"/>
              </w:rPr>
              <w:t xml:space="preserve">Situation d’une personne qui n’a jamais été scolarisée, ou très peu. Il s’agit pour elle d’entrer dans un premier niveau d’apprentissage par des </w:t>
            </w:r>
            <w:r w:rsidDel="00000000" w:rsidR="00000000" w:rsidRPr="00000000">
              <w:rPr>
                <w:b w:val="1"/>
                <w:color w:val="1c4587"/>
                <w:sz w:val="16"/>
                <w:szCs w:val="16"/>
                <w:rtl w:val="0"/>
              </w:rPr>
              <w:t xml:space="preserve">cours d</w:t>
            </w:r>
            <w:r w:rsidDel="00000000" w:rsidR="00000000" w:rsidRPr="00000000">
              <w:rPr>
                <w:color w:val="1c4587"/>
                <w:sz w:val="16"/>
                <w:szCs w:val="16"/>
                <w:rtl w:val="0"/>
              </w:rPr>
              <w:t xml:space="preserve">’</w:t>
            </w:r>
            <w:r w:rsidDel="00000000" w:rsidR="00000000" w:rsidRPr="00000000">
              <w:rPr>
                <w:b w:val="1"/>
                <w:color w:val="1c4587"/>
                <w:sz w:val="16"/>
                <w:szCs w:val="16"/>
                <w:rtl w:val="0"/>
              </w:rPr>
              <w:t xml:space="preserve">alphabétisation (ALPHA).</w:t>
            </w:r>
            <w:r w:rsidDel="00000000" w:rsidR="00000000" w:rsidRPr="00000000">
              <w:rPr>
                <w:rtl w:val="0"/>
              </w:rPr>
            </w:r>
          </w:p>
          <w:p w:rsidR="00000000" w:rsidDel="00000000" w:rsidP="00000000" w:rsidRDefault="00000000" w:rsidRPr="00000000" w14:paraId="0000002A">
            <w:pPr>
              <w:numPr>
                <w:ilvl w:val="0"/>
                <w:numId w:val="2"/>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Français Langue Etrangère (FLE):</w:t>
            </w:r>
            <w:r w:rsidDel="00000000" w:rsidR="00000000" w:rsidRPr="00000000">
              <w:rPr>
                <w:color w:val="1c4587"/>
                <w:sz w:val="16"/>
                <w:szCs w:val="16"/>
                <w:rtl w:val="0"/>
              </w:rPr>
              <w:t xml:space="preserve">Quand une personne nouvellement arrivée en France a été scolarisée plus de 5 ans dans sa langue maternelle, il s’agit pour elle d’apprendre le français, comme la langue au départ “étrangère” du pays où elle réside.</w:t>
            </w:r>
          </w:p>
          <w:p w:rsidR="00000000" w:rsidDel="00000000" w:rsidP="00000000" w:rsidRDefault="00000000" w:rsidRPr="00000000" w14:paraId="0000002B">
            <w:pPr>
              <w:numPr>
                <w:ilvl w:val="0"/>
                <w:numId w:val="2"/>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Illettrisme: </w:t>
            </w:r>
            <w:r w:rsidDel="00000000" w:rsidR="00000000" w:rsidRPr="00000000">
              <w:rPr>
                <w:color w:val="1c4587"/>
                <w:sz w:val="16"/>
                <w:szCs w:val="16"/>
                <w:rtl w:val="0"/>
              </w:rPr>
              <w:t xml:space="preserve">Situation d’une personne qui, après avoir été scolarisée en France, n’a pas acquis une maîtrise suffisante de la lecture, de l’écriture, du calcul (compétences de base), pour être autonome dans les situations courantes simples. Il s’agit pour elle de réapprendre les bases, de renouer avec la culture de l’écrit par des </w:t>
            </w:r>
            <w:r w:rsidDel="00000000" w:rsidR="00000000" w:rsidRPr="00000000">
              <w:rPr>
                <w:b w:val="1"/>
                <w:color w:val="1c4587"/>
                <w:sz w:val="16"/>
                <w:szCs w:val="16"/>
                <w:rtl w:val="0"/>
              </w:rPr>
              <w:t xml:space="preserve">cours de remise à niveau (RAN)</w:t>
            </w:r>
            <w:r w:rsidDel="00000000" w:rsidR="00000000" w:rsidRPr="00000000">
              <w:rPr>
                <w:color w:val="1c4587"/>
                <w:sz w:val="16"/>
                <w:szCs w:val="16"/>
                <w:rtl w:val="0"/>
              </w:rPr>
              <w:t xml:space="preserve">.</w:t>
            </w:r>
          </w:p>
          <w:p w:rsidR="00000000" w:rsidDel="00000000" w:rsidP="00000000" w:rsidRDefault="00000000" w:rsidRPr="00000000" w14:paraId="0000002C">
            <w:pPr>
              <w:numPr>
                <w:ilvl w:val="0"/>
                <w:numId w:val="2"/>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Atelier sociolinguistique (ASL):</w:t>
            </w:r>
            <w:r w:rsidDel="00000000" w:rsidR="00000000" w:rsidRPr="00000000">
              <w:rPr>
                <w:color w:val="1c4587"/>
                <w:sz w:val="16"/>
                <w:szCs w:val="16"/>
                <w:rtl w:val="0"/>
              </w:rPr>
              <w:t xml:space="preserve"> dispositif de formation collective financé par l’Europe (FSE) et par le département (DDTS). </w:t>
            </w:r>
          </w:p>
          <w:p w:rsidR="00000000" w:rsidDel="00000000" w:rsidP="00000000" w:rsidRDefault="00000000" w:rsidRPr="00000000" w14:paraId="0000002D">
            <w:pPr>
              <w:numPr>
                <w:ilvl w:val="0"/>
                <w:numId w:val="2"/>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Compétences de base professionnelles (CBP)</w:t>
            </w:r>
            <w:r w:rsidDel="00000000" w:rsidR="00000000" w:rsidRPr="00000000">
              <w:rPr>
                <w:color w:val="1c4587"/>
                <w:sz w:val="16"/>
                <w:szCs w:val="16"/>
                <w:rtl w:val="0"/>
              </w:rPr>
              <w:t xml:space="preserve">: dispositif de formation collective financé par l’Europe (FSE) et la Région IDF.</w:t>
            </w:r>
          </w:p>
          <w:p w:rsidR="00000000" w:rsidDel="00000000" w:rsidP="00000000" w:rsidRDefault="00000000" w:rsidRPr="00000000" w14:paraId="0000002E">
            <w:pPr>
              <w:numPr>
                <w:ilvl w:val="0"/>
                <w:numId w:val="2"/>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Test de connaissances du français (TCF): </w:t>
            </w:r>
            <w:r w:rsidDel="00000000" w:rsidR="00000000" w:rsidRPr="00000000">
              <w:rPr>
                <w:color w:val="1c4587"/>
                <w:sz w:val="16"/>
                <w:szCs w:val="16"/>
                <w:rtl w:val="0"/>
              </w:rPr>
              <w:t xml:space="preserve">Test valable 2 ans certifiant le niveau A2 (carte de résident) ou B1 (naturalisation).</w:t>
            </w:r>
          </w:p>
          <w:p w:rsidR="00000000" w:rsidDel="00000000" w:rsidP="00000000" w:rsidRDefault="00000000" w:rsidRPr="00000000" w14:paraId="0000002F">
            <w:pPr>
              <w:numPr>
                <w:ilvl w:val="0"/>
                <w:numId w:val="2"/>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Diplôme d’Etudes en Langue Française (DELF): </w:t>
            </w:r>
            <w:r w:rsidDel="00000000" w:rsidR="00000000" w:rsidRPr="00000000">
              <w:rPr>
                <w:color w:val="1c4587"/>
                <w:sz w:val="16"/>
                <w:szCs w:val="16"/>
                <w:rtl w:val="0"/>
              </w:rPr>
              <w:t xml:space="preserve">Diplôme valable à vie certifiant les niveaux A1 à B2 (pour C1/C2 = DALF). </w:t>
            </w:r>
          </w:p>
          <w:p w:rsidR="00000000" w:rsidDel="00000000" w:rsidP="00000000" w:rsidRDefault="00000000" w:rsidRPr="00000000" w14:paraId="00000030">
            <w:pPr>
              <w:numPr>
                <w:ilvl w:val="0"/>
                <w:numId w:val="1"/>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Niveaux du CECRL: Cadre Européen Commun de Référence pour les Langues </w:t>
            </w:r>
            <w:r w:rsidDel="00000000" w:rsidR="00000000" w:rsidRPr="00000000">
              <w:rPr>
                <w:color w:val="1c4587"/>
                <w:sz w:val="16"/>
                <w:szCs w:val="16"/>
                <w:rtl w:val="0"/>
              </w:rPr>
              <w:t xml:space="preserve">:</w:t>
            </w:r>
          </w:p>
          <w:p w:rsidR="00000000" w:rsidDel="00000000" w:rsidP="00000000" w:rsidRDefault="00000000" w:rsidRPr="00000000" w14:paraId="00000031">
            <w:pPr>
              <w:tabs>
                <w:tab w:val="center" w:pos="4536"/>
                <w:tab w:val="right" w:pos="9072"/>
              </w:tabs>
              <w:rPr>
                <w:color w:val="1c4587"/>
                <w:sz w:val="16"/>
                <w:szCs w:val="16"/>
              </w:rPr>
            </w:pPr>
            <w:r w:rsidDel="00000000" w:rsidR="00000000" w:rsidRPr="00000000">
              <w:rPr>
                <w:b w:val="1"/>
                <w:color w:val="1c4587"/>
                <w:sz w:val="16"/>
                <w:szCs w:val="16"/>
                <w:rtl w:val="0"/>
              </w:rPr>
              <w:t xml:space="preserve">                    FLE:   A1.1</w:t>
            </w:r>
            <w:r w:rsidDel="00000000" w:rsidR="00000000" w:rsidRPr="00000000">
              <w:rPr>
                <w:color w:val="1c4587"/>
                <w:sz w:val="16"/>
                <w:szCs w:val="16"/>
                <w:rtl w:val="0"/>
              </w:rPr>
              <w:t xml:space="preserve">:Grand débutant (niveau minimal)  &gt; </w:t>
            </w:r>
            <w:r w:rsidDel="00000000" w:rsidR="00000000" w:rsidRPr="00000000">
              <w:rPr>
                <w:b w:val="1"/>
                <w:color w:val="1c4587"/>
                <w:sz w:val="16"/>
                <w:szCs w:val="16"/>
                <w:rtl w:val="0"/>
              </w:rPr>
              <w:t xml:space="preserve"> </w:t>
            </w:r>
            <w:r w:rsidDel="00000000" w:rsidR="00000000" w:rsidRPr="00000000">
              <w:rPr>
                <w:color w:val="1c4587"/>
                <w:sz w:val="16"/>
                <w:szCs w:val="16"/>
                <w:rtl w:val="0"/>
              </w:rPr>
              <w:t xml:space="preserve">Public non francophone peu scolarisé. </w:t>
            </w:r>
          </w:p>
          <w:p w:rsidR="00000000" w:rsidDel="00000000" w:rsidP="00000000" w:rsidRDefault="00000000" w:rsidRPr="00000000" w14:paraId="00000032">
            <w:pPr>
              <w:tabs>
                <w:tab w:val="center" w:pos="4536"/>
                <w:tab w:val="right" w:pos="9072"/>
              </w:tabs>
              <w:ind w:right="-139"/>
              <w:rPr>
                <w:color w:val="1c4587"/>
                <w:sz w:val="16"/>
                <w:szCs w:val="16"/>
              </w:rPr>
            </w:pPr>
            <w:r w:rsidDel="00000000" w:rsidR="00000000" w:rsidRPr="00000000">
              <w:rPr>
                <w:b w:val="1"/>
                <w:color w:val="1c4587"/>
                <w:sz w:val="16"/>
                <w:szCs w:val="16"/>
                <w:rtl w:val="0"/>
              </w:rPr>
              <w:t xml:space="preserve">                               A1</w:t>
            </w:r>
            <w:r w:rsidDel="00000000" w:rsidR="00000000" w:rsidRPr="00000000">
              <w:rPr>
                <w:color w:val="1c4587"/>
                <w:sz w:val="16"/>
                <w:szCs w:val="16"/>
                <w:rtl w:val="0"/>
              </w:rPr>
              <w:t xml:space="preserve"> : Utilisateur élémentaire (niveau introductif)   &gt;  Public non francophone scolarisé. </w:t>
            </w:r>
          </w:p>
          <w:p w:rsidR="00000000" w:rsidDel="00000000" w:rsidP="00000000" w:rsidRDefault="00000000" w:rsidRPr="00000000" w14:paraId="00000033">
            <w:pPr>
              <w:tabs>
                <w:tab w:val="center" w:pos="4536"/>
                <w:tab w:val="right" w:pos="9072"/>
              </w:tabs>
              <w:ind w:right="-139"/>
              <w:rPr>
                <w:color w:val="1c4587"/>
                <w:sz w:val="16"/>
                <w:szCs w:val="16"/>
              </w:rPr>
            </w:pPr>
            <w:r w:rsidDel="00000000" w:rsidR="00000000" w:rsidRPr="00000000">
              <w:rPr>
                <w:b w:val="1"/>
                <w:color w:val="1c4587"/>
                <w:sz w:val="16"/>
                <w:szCs w:val="16"/>
                <w:rtl w:val="0"/>
              </w:rPr>
              <w:t xml:space="preserve">                               A2 </w:t>
            </w:r>
            <w:r w:rsidDel="00000000" w:rsidR="00000000" w:rsidRPr="00000000">
              <w:rPr>
                <w:color w:val="1c4587"/>
                <w:sz w:val="16"/>
                <w:szCs w:val="16"/>
                <w:rtl w:val="0"/>
              </w:rPr>
              <w:t xml:space="preserve">: Utilisateur élémentaire (niveau intermédiaire)   &gt;  Public non francophone scolarisé.                                            </w:t>
            </w:r>
          </w:p>
          <w:p w:rsidR="00000000" w:rsidDel="00000000" w:rsidP="00000000" w:rsidRDefault="00000000" w:rsidRPr="00000000" w14:paraId="00000034">
            <w:pPr>
              <w:tabs>
                <w:tab w:val="center" w:pos="4536"/>
                <w:tab w:val="right" w:pos="9072"/>
              </w:tabs>
              <w:ind w:right="-139"/>
              <w:rPr>
                <w:color w:val="1c4587"/>
                <w:sz w:val="16"/>
                <w:szCs w:val="16"/>
              </w:rPr>
            </w:pPr>
            <w:r w:rsidDel="00000000" w:rsidR="00000000" w:rsidRPr="00000000">
              <w:rPr>
                <w:b w:val="1"/>
                <w:color w:val="1c4587"/>
                <w:sz w:val="16"/>
                <w:szCs w:val="16"/>
                <w:rtl w:val="0"/>
              </w:rPr>
              <w:t xml:space="preserve">                               B1 / B2:</w:t>
            </w:r>
            <w:r w:rsidDel="00000000" w:rsidR="00000000" w:rsidRPr="00000000">
              <w:rPr>
                <w:color w:val="1c4587"/>
                <w:sz w:val="16"/>
                <w:szCs w:val="16"/>
                <w:rtl w:val="0"/>
              </w:rPr>
              <w:t xml:space="preserve"> Utilisateur indépendant (niveaux seuil / avancé)   &gt;  Public non francophone scolarisé.                                                                               </w:t>
              <w:tab/>
              <w:t xml:space="preserve">                  </w:t>
            </w:r>
            <w:r w:rsidDel="00000000" w:rsidR="00000000" w:rsidRPr="00000000">
              <w:rPr>
                <w:b w:val="1"/>
                <w:color w:val="1c4587"/>
                <w:sz w:val="16"/>
                <w:szCs w:val="16"/>
                <w:rtl w:val="0"/>
              </w:rPr>
              <w:t xml:space="preserve">C1</w:t>
            </w:r>
            <w:r w:rsidDel="00000000" w:rsidR="00000000" w:rsidRPr="00000000">
              <w:rPr>
                <w:color w:val="1c4587"/>
                <w:sz w:val="16"/>
                <w:szCs w:val="16"/>
                <w:rtl w:val="0"/>
              </w:rPr>
              <w:t xml:space="preserve"> /</w:t>
            </w:r>
            <w:r w:rsidDel="00000000" w:rsidR="00000000" w:rsidRPr="00000000">
              <w:rPr>
                <w:b w:val="1"/>
                <w:color w:val="1c4587"/>
                <w:sz w:val="16"/>
                <w:szCs w:val="16"/>
                <w:rtl w:val="0"/>
              </w:rPr>
              <w:t xml:space="preserve"> C2:</w:t>
            </w:r>
            <w:r w:rsidDel="00000000" w:rsidR="00000000" w:rsidRPr="00000000">
              <w:rPr>
                <w:color w:val="1c4587"/>
                <w:sz w:val="16"/>
                <w:szCs w:val="16"/>
                <w:rtl w:val="0"/>
              </w:rPr>
              <w:t xml:space="preserve"> Utilisateur expérimenté (niveaux autonome / maîtrise)   &gt; Public non francophone scolarisé.                                                         </w:t>
            </w:r>
          </w:p>
          <w:p w:rsidR="00000000" w:rsidDel="00000000" w:rsidP="00000000" w:rsidRDefault="00000000" w:rsidRPr="00000000" w14:paraId="00000035">
            <w:pPr>
              <w:tabs>
                <w:tab w:val="center" w:pos="4109"/>
                <w:tab w:val="right" w:pos="9072"/>
              </w:tabs>
              <w:ind w:right="-139"/>
              <w:rPr>
                <w:b w:val="1"/>
                <w:color w:val="1c4587"/>
                <w:sz w:val="16"/>
                <w:szCs w:val="16"/>
              </w:rPr>
            </w:pPr>
            <w:r w:rsidDel="00000000" w:rsidR="00000000" w:rsidRPr="00000000">
              <w:rPr>
                <w:b w:val="1"/>
                <w:color w:val="1c4587"/>
                <w:sz w:val="16"/>
                <w:szCs w:val="16"/>
                <w:rtl w:val="0"/>
              </w:rPr>
              <w:t xml:space="preserve">                    ALPHA: infra A1.1   </w:t>
            </w:r>
            <w:r w:rsidDel="00000000" w:rsidR="00000000" w:rsidRPr="00000000">
              <w:rPr>
                <w:color w:val="1c4587"/>
                <w:sz w:val="16"/>
                <w:szCs w:val="16"/>
                <w:rtl w:val="0"/>
              </w:rPr>
              <w:t xml:space="preserve">&gt;   Public non scolarisé, francophone ou non                                                     </w:t>
            </w:r>
            <w:r w:rsidDel="00000000" w:rsidR="00000000" w:rsidRPr="00000000">
              <w:rPr>
                <w:rtl w:val="0"/>
              </w:rPr>
            </w:r>
          </w:p>
          <w:p w:rsidR="00000000" w:rsidDel="00000000" w:rsidP="00000000" w:rsidRDefault="00000000" w:rsidRPr="00000000" w14:paraId="00000036">
            <w:pPr>
              <w:numPr>
                <w:ilvl w:val="0"/>
                <w:numId w:val="4"/>
              </w:numPr>
              <w:tabs>
                <w:tab w:val="center" w:pos="4536"/>
                <w:tab w:val="right" w:pos="9072"/>
              </w:tabs>
              <w:ind w:left="720" w:hanging="360"/>
              <w:rPr>
                <w:color w:val="1c4587"/>
                <w:sz w:val="16"/>
                <w:szCs w:val="16"/>
              </w:rPr>
            </w:pPr>
            <w:r w:rsidDel="00000000" w:rsidR="00000000" w:rsidRPr="00000000">
              <w:rPr>
                <w:b w:val="1"/>
                <w:color w:val="1c4587"/>
                <w:sz w:val="16"/>
                <w:szCs w:val="16"/>
                <w:rtl w:val="0"/>
              </w:rPr>
              <w:t xml:space="preserve">Référentiel des Compétences Clés en Situation Professionnelle RCCSP </w:t>
            </w:r>
            <w:r w:rsidDel="00000000" w:rsidR="00000000" w:rsidRPr="00000000">
              <w:rPr>
                <w:color w:val="1c4587"/>
                <w:sz w:val="16"/>
                <w:szCs w:val="16"/>
                <w:rtl w:val="0"/>
              </w:rPr>
              <w:t xml:space="preserve">(public scolarisé en France, situation d'illettrisme)</w:t>
            </w:r>
          </w:p>
          <w:p w:rsidR="00000000" w:rsidDel="00000000" w:rsidP="00000000" w:rsidRDefault="00000000" w:rsidRPr="00000000" w14:paraId="00000037">
            <w:pPr>
              <w:tabs>
                <w:tab w:val="center" w:pos="4536"/>
                <w:tab w:val="right" w:pos="9072"/>
              </w:tabs>
              <w:rPr>
                <w:color w:val="1c4587"/>
                <w:sz w:val="16"/>
                <w:szCs w:val="16"/>
              </w:rPr>
            </w:pPr>
            <w:r w:rsidDel="00000000" w:rsidR="00000000" w:rsidRPr="00000000">
              <w:rPr>
                <w:color w:val="1c4587"/>
                <w:sz w:val="16"/>
                <w:szCs w:val="16"/>
                <w:rtl w:val="0"/>
              </w:rPr>
              <w:tab/>
              <w:t xml:space="preserve">                Ce cadre de référence de l’</w:t>
            </w:r>
            <w:r w:rsidDel="00000000" w:rsidR="00000000" w:rsidRPr="00000000">
              <w:rPr>
                <w:b w:val="1"/>
                <w:color w:val="1c4587"/>
                <w:sz w:val="16"/>
                <w:szCs w:val="16"/>
                <w:rtl w:val="0"/>
              </w:rPr>
              <w:t xml:space="preserve">ANLCI</w:t>
            </w:r>
            <w:r w:rsidDel="00000000" w:rsidR="00000000" w:rsidRPr="00000000">
              <w:rPr>
                <w:color w:val="1c4587"/>
                <w:sz w:val="16"/>
                <w:szCs w:val="16"/>
                <w:rtl w:val="0"/>
              </w:rPr>
              <w:t xml:space="preserve"> croise en 4 degrés les compétences en situation de travail avec les savoirs de base.</w:t>
            </w:r>
          </w:p>
          <w:p w:rsidR="00000000" w:rsidDel="00000000" w:rsidP="00000000" w:rsidRDefault="00000000" w:rsidRPr="00000000" w14:paraId="00000038">
            <w:pPr>
              <w:numPr>
                <w:ilvl w:val="0"/>
                <w:numId w:val="3"/>
              </w:numPr>
              <w:tabs>
                <w:tab w:val="center" w:pos="4536"/>
                <w:tab w:val="right" w:pos="9072"/>
              </w:tabs>
              <w:ind w:left="720" w:hanging="360"/>
              <w:rPr>
                <w:color w:val="1c4587"/>
              </w:rPr>
            </w:pPr>
            <w:r w:rsidDel="00000000" w:rsidR="00000000" w:rsidRPr="00000000">
              <w:rPr>
                <w:b w:val="1"/>
                <w:color w:val="1c4587"/>
                <w:sz w:val="16"/>
                <w:szCs w:val="16"/>
                <w:rtl w:val="0"/>
              </w:rPr>
              <w:t xml:space="preserve">Référentiel CLéA: Socle de connaissances et de compétences professionnelles </w:t>
            </w:r>
            <w:r w:rsidDel="00000000" w:rsidR="00000000" w:rsidRPr="00000000">
              <w:rPr>
                <w:color w:val="1c4587"/>
                <w:sz w:val="16"/>
                <w:szCs w:val="16"/>
                <w:rtl w:val="0"/>
              </w:rPr>
              <w:t xml:space="preserve">&gt; Certification couvrant 7 domaines :</w:t>
            </w:r>
            <w:r w:rsidDel="00000000" w:rsidR="00000000" w:rsidRPr="00000000">
              <w:rPr>
                <w:color w:val="1c4587"/>
                <w:sz w:val="14"/>
                <w:szCs w:val="14"/>
                <w:rtl w:val="0"/>
              </w:rPr>
              <w:t xml:space="preserve"> </w:t>
            </w:r>
            <w:r w:rsidDel="00000000" w:rsidR="00000000" w:rsidRPr="00000000">
              <w:rPr>
                <w:b w:val="1"/>
                <w:color w:val="1c4587"/>
                <w:sz w:val="16"/>
                <w:szCs w:val="16"/>
                <w:rtl w:val="0"/>
              </w:rPr>
              <w:t xml:space="preserve">1.</w:t>
            </w:r>
            <w:r w:rsidDel="00000000" w:rsidR="00000000" w:rsidRPr="00000000">
              <w:rPr>
                <w:color w:val="1c4587"/>
                <w:sz w:val="16"/>
                <w:szCs w:val="16"/>
                <w:rtl w:val="0"/>
              </w:rPr>
              <w:t xml:space="preserve">Communication en français  </w:t>
            </w:r>
            <w:r w:rsidDel="00000000" w:rsidR="00000000" w:rsidRPr="00000000">
              <w:rPr>
                <w:b w:val="1"/>
                <w:color w:val="1c4587"/>
                <w:sz w:val="16"/>
                <w:szCs w:val="16"/>
                <w:rtl w:val="0"/>
              </w:rPr>
              <w:t xml:space="preserve">2</w:t>
            </w:r>
            <w:r w:rsidDel="00000000" w:rsidR="00000000" w:rsidRPr="00000000">
              <w:rPr>
                <w:color w:val="1c4587"/>
                <w:sz w:val="16"/>
                <w:szCs w:val="16"/>
                <w:rtl w:val="0"/>
              </w:rPr>
              <w:t xml:space="preserve">.Règles de base de calcul et du raisonnement mathématique </w:t>
            </w:r>
            <w:r w:rsidDel="00000000" w:rsidR="00000000" w:rsidRPr="00000000">
              <w:rPr>
                <w:b w:val="1"/>
                <w:color w:val="1c4587"/>
                <w:sz w:val="16"/>
                <w:szCs w:val="16"/>
                <w:rtl w:val="0"/>
              </w:rPr>
              <w:t xml:space="preserve">3.</w:t>
            </w:r>
            <w:r w:rsidDel="00000000" w:rsidR="00000000" w:rsidRPr="00000000">
              <w:rPr>
                <w:color w:val="1c4587"/>
                <w:sz w:val="16"/>
                <w:szCs w:val="16"/>
                <w:rtl w:val="0"/>
              </w:rPr>
              <w:t xml:space="preserve">Techniques usuelles de l’information et de la communication  numérique </w:t>
            </w:r>
            <w:r w:rsidDel="00000000" w:rsidR="00000000" w:rsidRPr="00000000">
              <w:rPr>
                <w:b w:val="1"/>
                <w:color w:val="1c4587"/>
                <w:sz w:val="16"/>
                <w:szCs w:val="16"/>
                <w:rtl w:val="0"/>
              </w:rPr>
              <w:t xml:space="preserve"> 4.</w:t>
            </w:r>
            <w:r w:rsidDel="00000000" w:rsidR="00000000" w:rsidRPr="00000000">
              <w:rPr>
                <w:color w:val="1c4587"/>
                <w:sz w:val="16"/>
                <w:szCs w:val="16"/>
                <w:rtl w:val="0"/>
              </w:rPr>
              <w:t xml:space="preserve">Travail dans le cadre de règles définies d’un travail en équipe  </w:t>
            </w:r>
            <w:r w:rsidDel="00000000" w:rsidR="00000000" w:rsidRPr="00000000">
              <w:rPr>
                <w:b w:val="1"/>
                <w:color w:val="1c4587"/>
                <w:sz w:val="16"/>
                <w:szCs w:val="16"/>
                <w:rtl w:val="0"/>
              </w:rPr>
              <w:t xml:space="preserve">5.</w:t>
            </w:r>
            <w:r w:rsidDel="00000000" w:rsidR="00000000" w:rsidRPr="00000000">
              <w:rPr>
                <w:color w:val="1c4587"/>
                <w:sz w:val="16"/>
                <w:szCs w:val="16"/>
                <w:rtl w:val="0"/>
              </w:rPr>
              <w:t xml:space="preserve">Travail en autonomie et réalisation d’un objectif individuel </w:t>
            </w:r>
            <w:r w:rsidDel="00000000" w:rsidR="00000000" w:rsidRPr="00000000">
              <w:rPr>
                <w:b w:val="1"/>
                <w:color w:val="1c4587"/>
                <w:sz w:val="16"/>
                <w:szCs w:val="16"/>
                <w:rtl w:val="0"/>
              </w:rPr>
              <w:t xml:space="preserve">6. </w:t>
            </w:r>
            <w:r w:rsidDel="00000000" w:rsidR="00000000" w:rsidRPr="00000000">
              <w:rPr>
                <w:color w:val="1c4587"/>
                <w:sz w:val="16"/>
                <w:szCs w:val="16"/>
                <w:rtl w:val="0"/>
              </w:rPr>
              <w:t xml:space="preserve">Apprendre à apprendre tout au long de la vie  </w:t>
            </w:r>
            <w:r w:rsidDel="00000000" w:rsidR="00000000" w:rsidRPr="00000000">
              <w:rPr>
                <w:b w:val="1"/>
                <w:color w:val="1c4587"/>
                <w:sz w:val="16"/>
                <w:szCs w:val="16"/>
                <w:rtl w:val="0"/>
              </w:rPr>
              <w:t xml:space="preserve">7</w:t>
            </w:r>
            <w:r w:rsidDel="00000000" w:rsidR="00000000" w:rsidRPr="00000000">
              <w:rPr>
                <w:color w:val="1c4587"/>
                <w:sz w:val="16"/>
                <w:szCs w:val="16"/>
                <w:rtl w:val="0"/>
              </w:rPr>
              <w:t xml:space="preserve">.Gestes et postures / Respect des règles d’hygiène, de sécurité et d’environnement élémentaires.</w:t>
            </w:r>
            <w:r w:rsidDel="00000000" w:rsidR="00000000" w:rsidRPr="00000000">
              <w:rPr>
                <w:rtl w:val="0"/>
              </w:rPr>
            </w:r>
          </w:p>
        </w:tc>
      </w:tr>
    </w:tbl>
    <w:p w:rsidR="00000000" w:rsidDel="00000000" w:rsidP="00000000" w:rsidRDefault="00000000" w:rsidRPr="00000000" w14:paraId="00000039">
      <w:pPr>
        <w:tabs>
          <w:tab w:val="center" w:pos="4536"/>
          <w:tab w:val="right" w:pos="9072"/>
        </w:tabs>
        <w:ind w:left="0" w:firstLine="0"/>
        <w:rPr>
          <w:b w:val="1"/>
          <w:i w:val="1"/>
          <w:color w:val="1c4587"/>
          <w:sz w:val="18"/>
          <w:szCs w:val="18"/>
        </w:rPr>
      </w:pPr>
      <w:r w:rsidDel="00000000" w:rsidR="00000000" w:rsidRPr="00000000">
        <w:rPr>
          <w:rtl w:val="0"/>
        </w:rPr>
      </w:r>
    </w:p>
    <w:sectPr>
      <w:headerReference r:id="rId7" w:type="default"/>
      <w:footerReference r:id="rId8" w:type="default"/>
      <w:pgSz w:h="16834" w:w="11909" w:orient="portrait"/>
      <w:pgMar w:bottom="1020" w:top="1020" w:left="1020" w:right="8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spacing w:line="259"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Réseau linguistique Paris-Saclay - Tél: 01 69 29 92 98 Mail: </w:t>
    </w:r>
    <w:hyperlink r:id="rId1">
      <w:r w:rsidDel="00000000" w:rsidR="00000000" w:rsidRPr="00000000">
        <w:rPr>
          <w:rFonts w:ascii="Calibri" w:cs="Calibri" w:eastAsia="Calibri" w:hAnsi="Calibri"/>
          <w:i w:val="1"/>
          <w:color w:val="1155cc"/>
          <w:sz w:val="18"/>
          <w:szCs w:val="18"/>
          <w:u w:val="single"/>
          <w:rtl w:val="0"/>
        </w:rPr>
        <w:t xml:space="preserve">linguistique@meif.fr</w:t>
      </w:r>
    </w:hyperlink>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3C">
    <w:pPr>
      <w:spacing w:line="259" w:lineRule="auto"/>
      <w:jc w:val="center"/>
      <w:rPr/>
    </w:pPr>
    <w:r w:rsidDel="00000000" w:rsidR="00000000" w:rsidRPr="00000000">
      <w:rPr>
        <w:rFonts w:ascii="Calibri" w:cs="Calibri" w:eastAsia="Calibri" w:hAnsi="Calibri"/>
        <w:i w:val="1"/>
        <w:sz w:val="18"/>
        <w:szCs w:val="18"/>
        <w:rtl w:val="0"/>
      </w:rPr>
      <w:t xml:space="preserve">dispositif porté par la MEIF Paris-Saclay - 15 avenue de Norvège 91140 Villebon-sur-Yvette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36"/>
        <w:tab w:val="right" w:pos="9072"/>
      </w:tabs>
      <w:spacing w:line="240" w:lineRule="auto"/>
      <w:jc w:val="center"/>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5205413" cy="6438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05413" cy="6438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guistique-paris-saclay.fr/"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nguistique@mei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